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11DFE26E" w:rsidR="00F23FC9"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C44AFF">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634EA666"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372203">
        <w:rPr>
          <w:rFonts w:ascii="Arial" w:hAnsi="Arial" w:cs="Arial"/>
          <w:b/>
          <w:bCs/>
          <w:caps/>
          <w:color w:val="214F87"/>
          <w:sz w:val="44"/>
          <w:szCs w:val="44"/>
        </w:rPr>
        <w:t>B</w:t>
      </w:r>
      <w:proofErr w:type="gramEnd"/>
    </w:p>
    <w:p w14:paraId="35AE0746" w14:textId="4B060E0B" w:rsidR="006F7549" w:rsidRDefault="00F23FC9" w:rsidP="00F23FC9">
      <w:pPr>
        <w:spacing w:before="240" w:after="200" w:line="276" w:lineRule="auto"/>
        <w:jc w:val="center"/>
        <w:rPr>
          <w:rFonts w:ascii="Arial" w:hAnsi="Arial" w:cs="Arial"/>
          <w:b/>
          <w:bCs/>
          <w:caps/>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2F13E8EB" w14:textId="465FC0A1" w:rsidR="00E74873" w:rsidRPr="00FA29D0" w:rsidRDefault="00E74873" w:rsidP="00E74873">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29DB432F" w14:textId="36C889EB" w:rsidR="00E74873" w:rsidRDefault="00E74873" w:rsidP="00E74873">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w:t>
      </w:r>
      <w:r>
        <w:rPr>
          <w:rFonts w:ascii="Arial" w:hAnsi="Arial" w:cs="Arial"/>
          <w:caps/>
          <w:sz w:val="32"/>
          <w:szCs w:val="32"/>
        </w:rPr>
        <w:t>paliativní</w:t>
      </w:r>
      <w:r w:rsidR="00C44AFF">
        <w:rPr>
          <w:rFonts w:ascii="Arial" w:hAnsi="Arial" w:cs="Arial"/>
          <w:caps/>
          <w:sz w:val="32"/>
          <w:szCs w:val="32"/>
        </w:rPr>
        <w:t xml:space="preserve"> </w:t>
      </w:r>
      <w:r w:rsidRPr="00A562AB">
        <w:rPr>
          <w:rFonts w:ascii="Arial" w:hAnsi="Arial" w:cs="Arial"/>
          <w:caps/>
          <w:sz w:val="32"/>
          <w:szCs w:val="32"/>
        </w:rPr>
        <w:t xml:space="preserve">PÉČE </w:t>
      </w:r>
      <w:r w:rsidRPr="00FA29D0">
        <w:rPr>
          <w:rFonts w:ascii="Arial" w:hAnsi="Arial" w:cs="Arial"/>
          <w:caps/>
          <w:sz w:val="32"/>
          <w:szCs w:val="32"/>
        </w:rPr>
        <w:t>- SC 4.3 (PR)</w:t>
      </w:r>
    </w:p>
    <w:p w14:paraId="067F5ED2" w14:textId="77777777" w:rsidR="00372203" w:rsidRDefault="00372203" w:rsidP="00E74873">
      <w:pPr>
        <w:jc w:val="center"/>
        <w:rPr>
          <w:rFonts w:ascii="Arial" w:hAnsi="Arial" w:cs="Arial"/>
          <w:caps/>
          <w:sz w:val="32"/>
          <w:szCs w:val="32"/>
        </w:rPr>
      </w:pPr>
    </w:p>
    <w:p w14:paraId="27C16E27" w14:textId="2B66D91B"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1672A7">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62DA7ADA"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C44AFF">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F3E5FE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C44AFF">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CB4760">
              <w:rPr>
                <w:rFonts w:ascii="Arial" w:hAnsi="Arial" w:cs="Arial"/>
                <w:snapToGrid w:val="0"/>
                <w:sz w:val="22"/>
                <w:szCs w:val="22"/>
                <w:lang w:eastAsia="zh-CN" w:bidi="ar"/>
              </w:rPr>
              <w:t>indikátor</w:t>
            </w:r>
            <w:r w:rsidR="00866C89" w:rsidRPr="00CB4760">
              <w:rPr>
                <w:rFonts w:ascii="Arial" w:hAnsi="Arial" w:cs="Arial"/>
                <w:snapToGrid w:val="0"/>
                <w:sz w:val="22"/>
                <w:szCs w:val="22"/>
                <w:lang w:eastAsia="zh-CN" w:bidi="ar"/>
              </w:rPr>
              <w:t xml:space="preserve"> </w:t>
            </w:r>
            <w:r w:rsidR="009132E6" w:rsidRPr="00CB4760">
              <w:rPr>
                <w:rFonts w:ascii="Arial" w:hAnsi="Arial" w:cs="Arial"/>
                <w:i/>
                <w:iCs/>
                <w:snapToGrid w:val="0"/>
                <w:sz w:val="22"/>
                <w:szCs w:val="22"/>
                <w:lang w:eastAsia="zh-CN" w:bidi="ar"/>
              </w:rPr>
              <w:t>I</w:t>
            </w:r>
            <w:r w:rsidR="00277403" w:rsidRPr="00CB4760">
              <w:rPr>
                <w:rFonts w:ascii="Arial" w:hAnsi="Arial" w:cs="Arial"/>
                <w:i/>
                <w:iCs/>
                <w:snapToGrid w:val="0"/>
                <w:sz w:val="22"/>
                <w:szCs w:val="22"/>
                <w:lang w:eastAsia="zh-CN" w:bidi="ar"/>
              </w:rPr>
              <w:t>.</w:t>
            </w:r>
            <w:r w:rsidRPr="00CB4760">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2A272782"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00372203">
              <w:rPr>
                <w:rFonts w:ascii="Arial" w:hAnsi="Arial" w:cs="Arial"/>
                <w:i/>
                <w:iCs/>
                <w:snapToGrid w:val="0"/>
                <w:sz w:val="22"/>
                <w:szCs w:val="22"/>
                <w:lang w:eastAsia="zh-CN" w:bidi="ar"/>
              </w:rPr>
              <w:t>I</w:t>
            </w:r>
            <w:r w:rsidRPr="006D44F6">
              <w:rPr>
                <w:rFonts w:ascii="Arial" w:hAnsi="Arial" w:cs="Arial"/>
                <w:i/>
                <w:iCs/>
                <w:snapToGrid w:val="0"/>
                <w:sz w:val="22"/>
                <w:szCs w:val="22"/>
                <w:lang w:eastAsia="zh-CN" w:bidi="ar"/>
              </w:rPr>
              <w:t xml:space="preserve">.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AD981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C44AF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4F77172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C44AFF">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C44AFF">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6001BE" w:rsidRPr="00BF657C" w14:paraId="620413FC" w14:textId="77777777" w:rsidTr="006001BE">
        <w:trPr>
          <w:trHeight w:val="410"/>
        </w:trPr>
        <w:tc>
          <w:tcPr>
            <w:tcW w:w="9067" w:type="dxa"/>
            <w:gridSpan w:val="2"/>
            <w:shd w:val="clear" w:color="auto" w:fill="D9D9D9" w:themeFill="background1" w:themeFillShade="D9"/>
          </w:tcPr>
          <w:p w14:paraId="5D6E0D60" w14:textId="01AD3100" w:rsidR="006001BE" w:rsidRPr="006001BE" w:rsidRDefault="006001BE" w:rsidP="006001BE">
            <w:pPr>
              <w:pStyle w:val="Odstavecseseznamem"/>
              <w:numPr>
                <w:ilvl w:val="0"/>
                <w:numId w:val="25"/>
              </w:numPr>
              <w:spacing w:before="120" w:after="120" w:line="271" w:lineRule="auto"/>
              <w:jc w:val="both"/>
              <w:rPr>
                <w:rFonts w:ascii="Arial" w:hAnsi="Arial" w:cs="Arial"/>
                <w:b/>
                <w:bCs/>
                <w:sz w:val="22"/>
                <w:szCs w:val="22"/>
              </w:rPr>
            </w:pPr>
            <w:r w:rsidRPr="006001BE">
              <w:rPr>
                <w:rFonts w:ascii="Arial" w:hAnsi="Arial" w:cs="Arial"/>
                <w:b/>
                <w:bCs/>
                <w:sz w:val="22"/>
                <w:szCs w:val="22"/>
              </w:rPr>
              <w:lastRenderedPageBreak/>
              <w:t>Služby obecného hospodářského zájmu</w:t>
            </w:r>
          </w:p>
        </w:tc>
      </w:tr>
      <w:tr w:rsidR="006001BE" w:rsidRPr="00BF657C" w14:paraId="3E3C69A0" w14:textId="77777777" w:rsidTr="00755826">
        <w:trPr>
          <w:trHeight w:val="410"/>
        </w:trPr>
        <w:tc>
          <w:tcPr>
            <w:tcW w:w="4533" w:type="dxa"/>
          </w:tcPr>
          <w:p w14:paraId="3A4C3C10" w14:textId="370190E8" w:rsidR="006001BE" w:rsidRPr="006001BE"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 xml:space="preserve">Poskytovatel služby </w:t>
            </w:r>
            <w:r w:rsidR="00B577C9">
              <w:rPr>
                <w:rFonts w:ascii="Arial" w:hAnsi="Arial" w:cs="Arial"/>
                <w:snapToGrid w:val="0"/>
                <w:sz w:val="22"/>
                <w:szCs w:val="22"/>
              </w:rPr>
              <w:t xml:space="preserve">obecného hospodářského zájmu (dále jen „SOHZ“) </w:t>
            </w:r>
            <w:r w:rsidRPr="006001BE">
              <w:rPr>
                <w:rFonts w:ascii="Arial" w:hAnsi="Arial" w:cs="Arial"/>
                <w:snapToGrid w:val="0"/>
                <w:sz w:val="22"/>
                <w:szCs w:val="22"/>
              </w:rPr>
              <w:t xml:space="preserve">musí být pověřen k výkonu </w:t>
            </w:r>
            <w:r w:rsidR="00B577C9">
              <w:rPr>
                <w:rFonts w:ascii="Arial" w:hAnsi="Arial" w:cs="Arial"/>
                <w:snapToGrid w:val="0"/>
                <w:sz w:val="22"/>
                <w:szCs w:val="22"/>
              </w:rPr>
              <w:t>SOHZ</w:t>
            </w:r>
            <w:r w:rsidRPr="006001BE">
              <w:rPr>
                <w:rFonts w:ascii="Arial" w:hAnsi="Arial" w:cs="Arial"/>
                <w:snapToGrid w:val="0"/>
                <w:sz w:val="22"/>
                <w:szCs w:val="22"/>
              </w:rPr>
              <w:t xml:space="preserve"> v souladu s Rozhodnutím 2012/21/EU </w:t>
            </w:r>
            <w:r w:rsidR="00B577C9">
              <w:rPr>
                <w:rFonts w:ascii="Arial" w:hAnsi="Arial" w:cs="Arial"/>
                <w:snapToGrid w:val="0"/>
                <w:sz w:val="22"/>
                <w:szCs w:val="22"/>
              </w:rPr>
              <w:t xml:space="preserve">po celou dobu </w:t>
            </w:r>
            <w:r w:rsidRPr="006001BE">
              <w:rPr>
                <w:rFonts w:ascii="Arial" w:hAnsi="Arial" w:cs="Arial"/>
                <w:snapToGrid w:val="0"/>
                <w:sz w:val="22"/>
                <w:szCs w:val="22"/>
              </w:rPr>
              <w:t xml:space="preserve">životnosti </w:t>
            </w:r>
            <w:r w:rsidR="00B577C9">
              <w:rPr>
                <w:rFonts w:ascii="Arial" w:hAnsi="Arial" w:cs="Arial"/>
                <w:snapToGrid w:val="0"/>
                <w:sz w:val="22"/>
                <w:szCs w:val="22"/>
              </w:rPr>
              <w:t>investice</w:t>
            </w:r>
            <w:r w:rsidRPr="006001BE">
              <w:rPr>
                <w:rFonts w:ascii="Arial" w:hAnsi="Arial" w:cs="Arial"/>
                <w:snapToGrid w:val="0"/>
                <w:sz w:val="22"/>
                <w:szCs w:val="22"/>
              </w:rPr>
              <w:t xml:space="preserve">. </w:t>
            </w:r>
          </w:p>
          <w:p w14:paraId="267B9218" w14:textId="19A91758" w:rsidR="006001BE" w:rsidRPr="00BF657C" w:rsidRDefault="006001BE" w:rsidP="006001BE">
            <w:pPr>
              <w:spacing w:before="120" w:after="120" w:line="271" w:lineRule="auto"/>
              <w:jc w:val="both"/>
              <w:rPr>
                <w:rFonts w:ascii="Arial" w:hAnsi="Arial" w:cs="Arial"/>
                <w:snapToGrid w:val="0"/>
                <w:sz w:val="22"/>
                <w:szCs w:val="22"/>
              </w:rPr>
            </w:pPr>
            <w:r w:rsidRPr="006001BE">
              <w:rPr>
                <w:rFonts w:ascii="Arial" w:hAnsi="Arial" w:cs="Arial"/>
                <w:snapToGrid w:val="0"/>
                <w:sz w:val="22"/>
                <w:szCs w:val="22"/>
              </w:rPr>
              <w:t>Pokud bude poskytovatel služby pověřen více pověřovacími akty, je povinen zajistit jejich kontinuální návaznost.</w:t>
            </w:r>
          </w:p>
        </w:tc>
        <w:tc>
          <w:tcPr>
            <w:tcW w:w="4534" w:type="dxa"/>
          </w:tcPr>
          <w:p w14:paraId="6DA06B2C" w14:textId="6F740B1B" w:rsidR="006001BE" w:rsidRPr="00BF657C" w:rsidRDefault="006001BE" w:rsidP="0042247B">
            <w:pPr>
              <w:spacing w:before="120" w:after="120" w:line="271" w:lineRule="auto"/>
              <w:jc w:val="both"/>
              <w:rPr>
                <w:rFonts w:ascii="Arial" w:hAnsi="Arial" w:cs="Arial"/>
                <w:sz w:val="22"/>
                <w:szCs w:val="22"/>
              </w:rPr>
            </w:pPr>
            <w:r w:rsidRPr="006001BE">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117D3F7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C44AF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57863F6E"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C44AFF">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C44AFF">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6B8B409" w14:textId="293B9587" w:rsidR="006001BE" w:rsidRPr="006001BE" w:rsidRDefault="006001BE" w:rsidP="006001BE">
      <w:pPr>
        <w:numPr>
          <w:ilvl w:val="0"/>
          <w:numId w:val="37"/>
        </w:numPr>
        <w:spacing w:after="240"/>
        <w:jc w:val="both"/>
        <w:rPr>
          <w:rFonts w:ascii="Arial" w:hAnsi="Arial" w:cs="Arial"/>
          <w:snapToGrid w:val="0"/>
          <w:sz w:val="22"/>
          <w:szCs w:val="22"/>
        </w:rPr>
      </w:pPr>
      <w:r w:rsidRPr="006001BE">
        <w:rPr>
          <w:rFonts w:ascii="Arial" w:hAnsi="Arial" w:cs="Arial"/>
          <w:snapToGrid w:val="0"/>
          <w:sz w:val="22"/>
          <w:szCs w:val="22"/>
        </w:rPr>
        <w:t>Dotace je udělena v souladu s Rozhodnutím Komise 2012/21/EU</w:t>
      </w:r>
      <w:r w:rsidR="002E2795">
        <w:rPr>
          <w:rStyle w:val="Znakapoznpodarou"/>
          <w:rFonts w:ascii="Arial" w:hAnsi="Arial" w:cs="Arial"/>
          <w:snapToGrid w:val="0"/>
          <w:sz w:val="22"/>
          <w:szCs w:val="22"/>
        </w:rPr>
        <w:footnoteReference w:id="22"/>
      </w:r>
      <w:r w:rsidRPr="006001BE">
        <w:rPr>
          <w:rFonts w:ascii="Arial" w:hAnsi="Arial" w:cs="Arial"/>
          <w:snapToGrid w:val="0"/>
          <w:sz w:val="22"/>
          <w:szCs w:val="22"/>
        </w:rPr>
        <w:t xml:space="preserve"> ze dne 20. prosince 2011 o použití čl. 106 odst. 2 SFEU na státní podporu ve formě vyrovnávací platby za</w:t>
      </w:r>
      <w:r w:rsidR="00C44AFF">
        <w:rPr>
          <w:rFonts w:ascii="Arial" w:hAnsi="Arial" w:cs="Arial"/>
          <w:snapToGrid w:val="0"/>
          <w:sz w:val="22"/>
          <w:szCs w:val="22"/>
        </w:rPr>
        <w:t> </w:t>
      </w:r>
      <w:r w:rsidRPr="006001BE">
        <w:rPr>
          <w:rFonts w:ascii="Arial" w:hAnsi="Arial" w:cs="Arial"/>
          <w:snapToGrid w:val="0"/>
          <w:sz w:val="22"/>
          <w:szCs w:val="22"/>
        </w:rPr>
        <w:t>závazek veřejné služby udělené určitým podnikům pověřeným poskytováním služeb obecného hospodářského zájmu (dále jen „</w:t>
      </w:r>
      <w:r w:rsidR="002A281E">
        <w:rPr>
          <w:rFonts w:ascii="Arial" w:hAnsi="Arial" w:cs="Arial"/>
          <w:snapToGrid w:val="0"/>
          <w:sz w:val="22"/>
          <w:szCs w:val="22"/>
        </w:rPr>
        <w:t>Rozhodnutí 2012/21/EU</w:t>
      </w:r>
      <w:r w:rsidRPr="006001BE">
        <w:rPr>
          <w:rFonts w:ascii="Arial" w:hAnsi="Arial" w:cs="Arial"/>
          <w:snapToGrid w:val="0"/>
          <w:sz w:val="22"/>
          <w:szCs w:val="22"/>
        </w:rPr>
        <w:t>“).</w:t>
      </w:r>
    </w:p>
    <w:p w14:paraId="36DFA33F" w14:textId="1074CD5D" w:rsidR="006001BE"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 xml:space="preserve">Příjemce dotace musí být zároveň poskytovatelem SOHZ. Příjemce dotace jako poskytovatel SOHZ musí být pověřen k výkonu SOHZ v souladu s Rozhodnutím </w:t>
      </w:r>
      <w:r w:rsidR="002A281E">
        <w:rPr>
          <w:rFonts w:ascii="Arial" w:hAnsi="Arial" w:cs="Arial"/>
          <w:snapToGrid w:val="0"/>
          <w:sz w:val="22"/>
          <w:szCs w:val="22"/>
        </w:rPr>
        <w:t>2012/21/EU</w:t>
      </w:r>
      <w:r w:rsidRPr="006001BE">
        <w:rPr>
          <w:rFonts w:ascii="Arial" w:hAnsi="Arial" w:cs="Arial"/>
          <w:snapToGrid w:val="0"/>
          <w:sz w:val="22"/>
          <w:szCs w:val="22"/>
        </w:rPr>
        <w:t xml:space="preserve"> po celou dobu životnosti investice. </w:t>
      </w:r>
    </w:p>
    <w:p w14:paraId="30AA1D6E" w14:textId="77777777" w:rsid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6689958E" w:rsidR="009132E6" w:rsidRPr="006001BE" w:rsidRDefault="006001BE" w:rsidP="006001BE">
      <w:pPr>
        <w:numPr>
          <w:ilvl w:val="0"/>
          <w:numId w:val="37"/>
        </w:numPr>
        <w:spacing w:after="240"/>
        <w:ind w:left="357" w:hanging="357"/>
        <w:jc w:val="both"/>
        <w:rPr>
          <w:rFonts w:ascii="Arial" w:hAnsi="Arial" w:cs="Arial"/>
          <w:snapToGrid w:val="0"/>
          <w:sz w:val="22"/>
          <w:szCs w:val="22"/>
        </w:rPr>
      </w:pPr>
      <w:r w:rsidRPr="006001BE">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C44AFF">
        <w:rPr>
          <w:rFonts w:ascii="Arial" w:hAnsi="Arial" w:cs="Arial"/>
          <w:snapToGrid w:val="0"/>
          <w:sz w:val="22"/>
          <w:szCs w:val="22"/>
        </w:rPr>
        <w:t> </w:t>
      </w:r>
      <w:r w:rsidRPr="006001BE">
        <w:rPr>
          <w:rFonts w:ascii="Arial" w:hAnsi="Arial" w:cs="Arial"/>
          <w:snapToGrid w:val="0"/>
          <w:sz w:val="22"/>
          <w:szCs w:val="22"/>
        </w:rPr>
        <w:t>poskytnutá dotace představuje protiprávní veřejnou podporu neslučitelnou s vnitřním trhem.</w:t>
      </w: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CFC2162"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C44AFF">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C44AFF">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D26A4FA"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372203">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C44AFF">
        <w:trPr>
          <w:trHeight w:val="283"/>
        </w:trPr>
        <w:tc>
          <w:tcPr>
            <w:tcW w:w="1814" w:type="dxa"/>
            <w:tcBorders>
              <w:top w:val="nil"/>
              <w:left w:val="single" w:sz="4" w:space="0" w:color="auto"/>
              <w:bottom w:val="nil"/>
              <w:right w:val="single" w:sz="4" w:space="0" w:color="auto"/>
            </w:tcBorders>
            <w:hideMark/>
          </w:tcPr>
          <w:p w14:paraId="6D191B12" w14:textId="3F5473E5" w:rsidR="00804B4B" w:rsidRPr="00804B4B" w:rsidRDefault="00C44AFF" w:rsidP="00D85842">
            <w:pPr>
              <w:rPr>
                <w:rFonts w:ascii="Arial" w:hAnsi="Arial" w:cs="Arial"/>
                <w:sz w:val="22"/>
                <w:szCs w:val="22"/>
              </w:rPr>
            </w:pPr>
            <w:r w:rsidRPr="00804B4B">
              <w:rPr>
                <w:rFonts w:ascii="Arial" w:hAnsi="Arial" w:cs="Arial"/>
                <w:sz w:val="22"/>
                <w:szCs w:val="22"/>
              </w:rPr>
              <w:t>E-mail</w:t>
            </w:r>
            <w:r w:rsidR="00804B4B" w:rsidRPr="00804B4B">
              <w:rPr>
                <w:rFonts w:ascii="Arial" w:hAnsi="Arial" w:cs="Arial"/>
                <w:sz w:val="22"/>
                <w:szCs w:val="22"/>
              </w:rPr>
              <w:t>:</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05A493C5"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C44AFF">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C44AFF">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C44AFF">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C44AFF">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C44AFF">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25829264"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C44AF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B377AD4"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C44AF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36912F8A"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C44AF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2751444"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w:t>
      </w:r>
      <w:r w:rsidR="00C44AFF">
        <w:rPr>
          <w:rFonts w:ascii="Arial" w:hAnsi="Arial" w:cs="Arial"/>
          <w:sz w:val="18"/>
          <w:szCs w:val="18"/>
        </w:rPr>
        <w:t> </w:t>
      </w:r>
      <w:r w:rsidRPr="0042247B">
        <w:rPr>
          <w:rFonts w:ascii="Arial" w:hAnsi="Arial" w:cs="Arial"/>
          <w:sz w:val="18"/>
          <w:szCs w:val="18"/>
        </w:rPr>
        <w:t xml:space="preserve">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6BD1612B" w14:textId="2334B936" w:rsidR="002E2795" w:rsidRDefault="002E2795">
      <w:pPr>
        <w:pStyle w:val="Textpoznpodarou"/>
      </w:pPr>
      <w:r>
        <w:rPr>
          <w:rStyle w:val="Znakapoznpodarou"/>
        </w:rPr>
        <w:footnoteRef/>
      </w:r>
      <w:r>
        <w:t xml:space="preserve"> </w:t>
      </w:r>
      <w:proofErr w:type="spellStart"/>
      <w:r w:rsidRPr="002E2795">
        <w:t>Úř</w:t>
      </w:r>
      <w:proofErr w:type="spellEnd"/>
      <w:r w:rsidRPr="002E2795">
        <w:t xml:space="preserve">. </w:t>
      </w:r>
      <w:proofErr w:type="spellStart"/>
      <w:r w:rsidRPr="002E2795">
        <w:t>věst</w:t>
      </w:r>
      <w:proofErr w:type="spellEnd"/>
      <w:r w:rsidRPr="002E2795">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46418444">
    <w:abstractNumId w:val="20"/>
  </w:num>
  <w:num w:numId="2" w16cid:durableId="202254605">
    <w:abstractNumId w:val="30"/>
  </w:num>
  <w:num w:numId="3" w16cid:durableId="2066752042">
    <w:abstractNumId w:val="3"/>
  </w:num>
  <w:num w:numId="4" w16cid:durableId="1717587860">
    <w:abstractNumId w:val="8"/>
  </w:num>
  <w:num w:numId="5" w16cid:durableId="1820415722">
    <w:abstractNumId w:val="13"/>
  </w:num>
  <w:num w:numId="6" w16cid:durableId="20130335">
    <w:abstractNumId w:val="19"/>
  </w:num>
  <w:num w:numId="7" w16cid:durableId="424620136">
    <w:abstractNumId w:val="7"/>
  </w:num>
  <w:num w:numId="8" w16cid:durableId="894849329">
    <w:abstractNumId w:val="26"/>
  </w:num>
  <w:num w:numId="9" w16cid:durableId="774518113">
    <w:abstractNumId w:val="33"/>
  </w:num>
  <w:num w:numId="10" w16cid:durableId="672025133">
    <w:abstractNumId w:val="29"/>
  </w:num>
  <w:num w:numId="11" w16cid:durableId="1973435854">
    <w:abstractNumId w:val="9"/>
  </w:num>
  <w:num w:numId="12" w16cid:durableId="1636640899">
    <w:abstractNumId w:val="11"/>
  </w:num>
  <w:num w:numId="13" w16cid:durableId="1429160221">
    <w:abstractNumId w:val="36"/>
  </w:num>
  <w:num w:numId="14" w16cid:durableId="1371103878">
    <w:abstractNumId w:val="31"/>
  </w:num>
  <w:num w:numId="15" w16cid:durableId="170146402">
    <w:abstractNumId w:val="14"/>
  </w:num>
  <w:num w:numId="16" w16cid:durableId="694576303">
    <w:abstractNumId w:val="21"/>
  </w:num>
  <w:num w:numId="17" w16cid:durableId="1417049838">
    <w:abstractNumId w:val="5"/>
  </w:num>
  <w:num w:numId="18" w16cid:durableId="2033453550">
    <w:abstractNumId w:val="16"/>
  </w:num>
  <w:num w:numId="19" w16cid:durableId="326833328">
    <w:abstractNumId w:val="6"/>
  </w:num>
  <w:num w:numId="20" w16cid:durableId="1168667327">
    <w:abstractNumId w:val="17"/>
  </w:num>
  <w:num w:numId="21" w16cid:durableId="700784228">
    <w:abstractNumId w:val="18"/>
  </w:num>
  <w:num w:numId="22" w16cid:durableId="711468274">
    <w:abstractNumId w:val="15"/>
  </w:num>
  <w:num w:numId="23" w16cid:durableId="1935823654">
    <w:abstractNumId w:val="25"/>
  </w:num>
  <w:num w:numId="24" w16cid:durableId="1371415238">
    <w:abstractNumId w:val="4"/>
  </w:num>
  <w:num w:numId="25" w16cid:durableId="1193416928">
    <w:abstractNumId w:val="1"/>
  </w:num>
  <w:num w:numId="26" w16cid:durableId="431900890">
    <w:abstractNumId w:val="28"/>
  </w:num>
  <w:num w:numId="27" w16cid:durableId="2056928024">
    <w:abstractNumId w:val="23"/>
  </w:num>
  <w:num w:numId="28" w16cid:durableId="806045723">
    <w:abstractNumId w:val="10"/>
  </w:num>
  <w:num w:numId="29" w16cid:durableId="757747458">
    <w:abstractNumId w:val="27"/>
  </w:num>
  <w:num w:numId="30" w16cid:durableId="583152370">
    <w:abstractNumId w:val="34"/>
  </w:num>
  <w:num w:numId="31" w16cid:durableId="1415129137">
    <w:abstractNumId w:val="24"/>
  </w:num>
  <w:num w:numId="32" w16cid:durableId="1928613363">
    <w:abstractNumId w:val="0"/>
  </w:num>
  <w:num w:numId="33" w16cid:durableId="954210758">
    <w:abstractNumId w:val="12"/>
  </w:num>
  <w:num w:numId="34" w16cid:durableId="1701198063">
    <w:abstractNumId w:val="32"/>
  </w:num>
  <w:num w:numId="35" w16cid:durableId="680594977">
    <w:abstractNumId w:val="22"/>
  </w:num>
  <w:num w:numId="36" w16cid:durableId="23600400">
    <w:abstractNumId w:val="2"/>
  </w:num>
  <w:num w:numId="37" w16cid:durableId="899554155">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2A7"/>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281E"/>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795"/>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5D"/>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03"/>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69FA"/>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1BE"/>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577C9"/>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364"/>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4AFF"/>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760"/>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873"/>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link w:val="PedmtkomenteChar"/>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PedmtkomenteChar">
    <w:name w:val="Předmět komentáře Char"/>
    <w:basedOn w:val="Standardnpsmoodstavce"/>
    <w:link w:val="Pedmtkomente"/>
    <w:qFormat/>
    <w:rsid w:val="006001BE"/>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mso-contentType ?>
<FormTemplates xmlns="http://schemas.microsoft.com/sharepoint/v3/contenttype/forms">
  <Display>DocumentLibraryForm</Display>
  <Edit>DocumentLibraryForm</Edit>
  <New>DocumentLibraryForm</New>
</FormTemplates>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0.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1.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6.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7.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8.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1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6.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9.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4197</Words>
  <Characters>24346</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13</cp:revision>
  <cp:lastPrinted>2022-07-27T10:25:00Z</cp:lastPrinted>
  <dcterms:created xsi:type="dcterms:W3CDTF">2022-09-20T08:47:00Z</dcterms:created>
  <dcterms:modified xsi:type="dcterms:W3CDTF">2024-02-29T12:38:00Z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